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Октябрьск «Культурно-досуговый комплекс «Октябрьский»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885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Показатели, характеризующие открытость и доступность информации об организации, измерялись посредством: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оценки контента информации о деятельности организации, размещенной на информационных стендах в помещении и на территории организации;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оценки контента информации о деятельности организации, размещенной на официальном сайте организации;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определения наличия на официальном сайте организации информации о дистанционных способах обратной связи и взаимодействия с получателями услуг, а также оценки их функционирования (телефона;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определения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сайте организации (в % от общего числа опрошенных получателей услуг).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1.1.  Соответствие информации о деятельности организации, размещенной на информационных стендах в помещении и на территории организации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 со ст. 36.2. Основы законодательства Российской Федерации о культуре (утв. ВС РФ 09.10.1992 N 3612-1) (ред. от 30.04.2021) на информационных стендах организаций культуры необходимо разместить 13 документов.</w:t>
            </w: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документов, размещенных на стенде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информационном стенде размещена вся требуемая информация.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jc w:val="center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на официальном сайте организации необходимо разместить 19 документов.</w:t>
            </w: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документов, размещенных на сайте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Необходимо обеспечить размещение на сайте следующих документов: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2"/>
              </w:rPr>
              <w:t>- Копия плана финансово-хозяйственной деятельности организации культуры (информация об объеме предоставляемых услуг)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2"/>
              </w:rPr>
              <w:t>- Информация о материально-техническом обеспечении предоставления услуг организацией культуры</w:t>
            </w:r>
          </w:p>
        </w:tc>
      </w:tr>
    </w:tbl>
    <w:p w:rsidR="00DC5990" w:rsidRDefault="00531652">
      <w:r>
        <w:br w:type="page"/>
      </w:r>
    </w:p>
    <w:tbl>
      <w:tblPr>
        <w:tblStyle w:val="TableStyle0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1.3.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независимой оценки проверялось функционирование 5-ти дистанционных способов обратной связи: посредством телефона, электронной почты, электронных сервисов обратной связи на сайте (форма обратной связи, онлайн-консультант и пр.), раздела «часто задаваемые вопросы», выражения получателем услуг мнения о качестве условий оказания услуг (наличие на сайте анкеты для опроса граждан или гиперссылки на нее).</w:t>
            </w:r>
          </w:p>
        </w:tc>
      </w:tr>
      <w:tr w:rsidR="00DC5990"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Число способов обратной связи, функционирующих на момент оценки: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ходе проверки организации были выявлены недостатки в функционировании следующих способов коммуникации с получателями услуг: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Pr="00C72E71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ходе оценки был выявлен факт отсутствия/неработоспособность интернет-сервиса для взаимодействия с посетителями. Рекомендация</w:t>
            </w:r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: необходимо обеспечить контроль за своевременным взаимодействием с получателями услуг с помощью встроенного интернет-сервиса.</w:t>
            </w:r>
          </w:p>
          <w:p w:rsidR="00DC5990" w:rsidRDefault="00531652"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В ходе оценки зафиксирован факт отсутствия раздела «Часто задаваемые вопросы». В целях обеспечения открытости и доступности информации об организации целесообразно разместить данный раздел на сайте организации.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</w:tcPr>
          <w:p w:rsidR="00DC5990" w:rsidRDefault="00DC5990">
            <w:pPr>
              <w:wordWrap w:val="0"/>
              <w:jc w:val="center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1.4. Удовлетворенность открытостью, полнотой и доступностью информации об организации</w:t>
            </w:r>
          </w:p>
        </w:tc>
      </w:tr>
      <w:tr w:rsidR="00DC5990">
        <w:trPr>
          <w:cantSplit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опроса получателей услуг зафиксирована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информационных стендах: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DC5990"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высокого уровня удовлетворенности открытостью, полнотой и доступностью информации и его постоянного повышения, необходимо соблюдать определенные требования. Информация должна быть актуальной, своевременной и содержательной.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сайте организации: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DC5990"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высокого уровня удовлетворенности открытостью, полнотой и доступностью информации, размещенной на сайте организации, и его повышения, необходимо осуществлять контроль за своевременным обновлением контента сайта.  Необходимо проводить диагностику удобства навигации по сайту.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</w:tbl>
    <w:p w:rsidR="00DC5990" w:rsidRDefault="00531652">
      <w:r>
        <w:br w:type="page"/>
      </w:r>
    </w:p>
    <w:tbl>
      <w:tblPr>
        <w:tblStyle w:val="TableStyle0"/>
        <w:tblW w:w="1022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371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DC5990" w:rsidTr="004C4899">
        <w:trPr>
          <w:cantSplit/>
        </w:trPr>
        <w:tc>
          <w:tcPr>
            <w:tcW w:w="7926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 КОМФОРТНОСТЬ УСЛОВИЙ ПРЕДОСТАВЛЕНИЯ УСЛУГ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 w:rsidTr="004C4899">
        <w:trPr>
          <w:cantSplit/>
        </w:trPr>
        <w:tc>
          <w:tcPr>
            <w:tcW w:w="1371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 Обеспечение в организации комфортных условий для предоставления услуг</w:t>
            </w: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и качество обеспечения комфортных условий предоставления услуг определялся посредством экспертной оценки внутренних помещений и внешней территории организации. Оценивалось наличие следующих условий: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зоны ожидания (отдыха);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понятность навигации внутри организации;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доступная питьевая вода;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доступность санитарно-гигиенических помещений;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и достаточность гардеробов;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санитарное состояние помещений организаций;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транспортная доступность (возможность доехать до организации на общественном транспорте, наличие парковки);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доступность записи на получение услуги (по телефону, на официальном сайте организации и пр.).</w:t>
            </w:r>
          </w:p>
        </w:tc>
      </w:tr>
      <w:tr w:rsidR="00DC5990" w:rsidTr="004C4899">
        <w:trPr>
          <w:cantSplit/>
        </w:trPr>
        <w:tc>
          <w:tcPr>
            <w:tcW w:w="8541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условий комфортности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  <w:jc w:val="center"/>
            </w:pP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Таким образом, в организации обеспечены все требуемые условия комфортности для получателей услуг.</w:t>
            </w: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</w:tr>
      <w:tr w:rsidR="00DC5990" w:rsidTr="004C4899">
        <w:trPr>
          <w:cantSplit/>
        </w:trPr>
        <w:tc>
          <w:tcPr>
            <w:tcW w:w="5466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2.2. Время ожидания предоставления услуги:</w:t>
            </w: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proofErr w:type="gramStart"/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 «</w:t>
            </w:r>
            <w:proofErr w:type="gramEnd"/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Время ожидания предоставления услуги» в сфере культуры не установлен.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Значение показателя рассчитывается как среднее арифметическое количество баллов по измеряемым критериям «Обеспечение в организации социальной сферы комфортных условий для предоставления услуг» и «Доля получателей услуг, удовлетворенных комфортностью предоставления услуг организацией социальной сферы».</w:t>
            </w:r>
          </w:p>
        </w:tc>
      </w:tr>
      <w:tr w:rsidR="00DC5990" w:rsidTr="004C4899">
        <w:trPr>
          <w:cantSplit/>
        </w:trPr>
        <w:tc>
          <w:tcPr>
            <w:tcW w:w="8541" w:type="dxa"/>
            <w:gridSpan w:val="8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2.3. Удовлетворенность комфортностью предоставления услуг</w:t>
            </w:r>
          </w:p>
        </w:tc>
      </w:tr>
      <w:tr w:rsidR="00DC5990" w:rsidTr="004C4899">
        <w:trPr>
          <w:cantSplit/>
        </w:trPr>
        <w:tc>
          <w:tcPr>
            <w:tcW w:w="8541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комфортностью предоставления услуг: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DC5990" w:rsidTr="004C4899">
        <w:trPr>
          <w:cantSplit/>
        </w:trPr>
        <w:tc>
          <w:tcPr>
            <w:tcW w:w="2316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15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05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18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27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61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68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</w:tr>
      <w:tr w:rsidR="00DC5990" w:rsidTr="004C4899">
        <w:trPr>
          <w:cantSplit/>
        </w:trPr>
        <w:tc>
          <w:tcPr>
            <w:tcW w:w="10221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(в том числе, санитарно-гигиенических зон, в которых необходимо размещать автоматические сушилки или бумажные полотенца, мыло, туалетную бумагу), территории, прилегающей к зданию организации, следить за состоянием мебели, доступностью питьевой воды и понятностью навигации внутри помещений организации.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комфортностью условий оказания услуг.</w:t>
            </w:r>
          </w:p>
        </w:tc>
      </w:tr>
      <w:tr w:rsidR="00DC5990" w:rsidTr="004C4899">
        <w:trPr>
          <w:cantSplit/>
        </w:trPr>
        <w:tc>
          <w:tcPr>
            <w:tcW w:w="1371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/>
        </w:tc>
        <w:tc>
          <w:tcPr>
            <w:tcW w:w="115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</w:tbl>
    <w:p w:rsidR="00DC5990" w:rsidRDefault="00531652">
      <w:r>
        <w:br w:type="page"/>
      </w:r>
    </w:p>
    <w:tbl>
      <w:tblPr>
        <w:tblStyle w:val="TableStyle0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DC5990">
        <w:trPr>
          <w:cantSplit/>
        </w:trPr>
        <w:tc>
          <w:tcPr>
            <w:tcW w:w="622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ДОСТУПНОСТЬ УСЛУГ ДЛЯ ИНВАЛИДОВ</w:t>
            </w: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возможностями, а также условий доступности, позволяющих инвалидам получать услуги наравне с другими.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DC5990"/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3.1. 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независимой оценки качества условий оказания услуг оценивались следующие элементы доступной среды: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оборудование входных групп пандусами (подъемными платформами);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выделенных стоянок для автотранспортных средств инвалидов;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адаптированных лифтов, поручней, наличие расширенных дверных проемов;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сменных кресел-колясок;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специально оборудованных для инвалидов санитарно-гигиенических помещений.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/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элементов доступной среды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000000" w:fill="FFFFFF"/>
            <w:vAlign w:val="bottom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Pr="00C72E71" w:rsidRDefault="00531652">
            <w:r w:rsidRPr="00C72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обеспечения доступной среды для маломобильных получателей услуг необходимо оборудовать помещения и территорию организации следующими элементами: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Pr="00C72E71" w:rsidRDefault="00531652"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- наличие сменных кресел-колясок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Pr="002B103E" w:rsidRDefault="00DC5990">
            <w:pPr>
              <w:wordWrap w:val="0"/>
              <w:rPr>
                <w:highlight w:val="yellow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Pr="002B103E" w:rsidRDefault="00DC5990">
            <w:pPr>
              <w:wordWrap w:val="0"/>
              <w:rPr>
                <w:highlight w:val="yellow"/>
              </w:rPr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Pr="002B103E" w:rsidRDefault="00DC5990">
            <w:pPr>
              <w:wordWrap w:val="0"/>
              <w:rPr>
                <w:highlight w:val="yellow"/>
              </w:rPr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Pr="002B103E" w:rsidRDefault="00DC5990">
            <w:pPr>
              <w:wordWrap w:val="0"/>
              <w:rPr>
                <w:highlight w:val="yellow"/>
              </w:rPr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Pr="002B103E" w:rsidRDefault="00DC5990">
            <w:pPr>
              <w:wordWrap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Наряду с оценкой доступности помещений и прилегающих территорий организации производилась оценка условий доступности, позволяющих инвалидам получать услуги наравне с другими. Учитывались следующие условия доступности услуг: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дублирование для инвалидов по слуху и зрению звуковой и зрительной информации;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●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альтернативной версии официального сайта организации для инвалидов по зрению;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помощь, оказываемая работниками, прошедшими обучение по сопровождению инвалидов в помещении организации;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● наличие возможности предоставления услуги в дистанционном режиме или на дому.</w:t>
            </w:r>
          </w:p>
        </w:tc>
      </w:tr>
      <w:tr w:rsidR="00DC59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/>
        </w:tc>
        <w:tc>
          <w:tcPr>
            <w:tcW w:w="115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условий доступности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bottom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 w:rsidRPr="00C72E71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Pr="00C72E71" w:rsidRDefault="00531652">
            <w:r w:rsidRPr="00C72E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обеспечения условий доступности, позволяющих инвалидам получать услуги наравне с другими, необходимо обеспечить следующие условия:</w:t>
            </w: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Pr="00C72E71" w:rsidRDefault="00531652"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C72E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</w:tbl>
    <w:p w:rsidR="00DC5990" w:rsidRDefault="00531652">
      <w:r>
        <w:br w:type="page"/>
      </w:r>
    </w:p>
    <w:tbl>
      <w:tblPr>
        <w:tblStyle w:val="TableStyle0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DC5990" w:rsidRDefault="00531652"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3.3. Удовлетворенность доступностью услуг для инвалидов</w:t>
            </w: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DC5990"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условий, позволяющих инвалидам получать услуги наравне с другими.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доступностью услуг для инвалидов.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ДОБРОЖЕЛАТЕЛЬНОСТЬ, ВЕЖЛИВОСТЬ РАБОТНИКОВ ОРГАНИЗАЦИИ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DC5990"/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«Доброжелательность, вежливость работников организации» формируется за счет получения субъективных оценок получателей услуг, собираемых в ходе опроса.</w:t>
            </w:r>
          </w:p>
        </w:tc>
      </w:tr>
      <w:tr w:rsidR="00DC59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/>
        </w:tc>
        <w:tc>
          <w:tcPr>
            <w:tcW w:w="115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получение консультации по оказываемым услугам и пр.):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доброжелательностью и вежливостью сотрудников организации и повышения этого уровня важно выстраивать с получателями грамотную коммуникацию. Основным принципом взаимоотношений между получателем услуг и представителем организации должен стать принцип уважения к личности. Культура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общения  проявляется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умении выслушать, в проявлении отзывчивости и сопереживания.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доброжелательностью и вежливостью сотрудников организации.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</w:tbl>
    <w:p w:rsidR="00DC5990" w:rsidRDefault="00531652">
      <w:r>
        <w:br w:type="page"/>
      </w:r>
    </w:p>
    <w:tbl>
      <w:tblPr>
        <w:tblStyle w:val="TableStyle0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 w:rsidR="00DC5990">
        <w:trPr>
          <w:cantSplit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 УДОВЛЕТВОРЕННОСТЬ УСЛОВИЯМИ ОКАЗАНИЯ УСЛУГ</w:t>
            </w:r>
          </w:p>
        </w:tc>
      </w:tr>
      <w:tr w:rsidR="00DC59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/>
        </w:tc>
        <w:tc>
          <w:tcPr>
            <w:tcW w:w="115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которые готовы рекомендовать организацию культуры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DC5990">
        <w:trPr>
          <w:cantSplit/>
        </w:trPr>
        <w:tc>
          <w:tcPr>
            <w:tcW w:w="8115" w:type="dxa"/>
            <w:gridSpan w:val="8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организационными условиями оказания услуг (графиком и режимом работы) организации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DC5990"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DC5990" w:rsidRDefault="00DC5990"/>
        </w:tc>
        <w:tc>
          <w:tcPr>
            <w:tcW w:w="115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DC5990" w:rsidRDefault="00531652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культуры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vAlign w:val="center"/>
          </w:tcPr>
          <w:p w:rsidR="00DC5990" w:rsidRDefault="00531652">
            <w:pPr>
              <w:wordWrap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DC5990">
        <w:trPr>
          <w:cantSplit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531652">
            <w:pPr>
              <w:wordWrap w:val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C5990" w:rsidRDefault="00DC5990">
            <w:pPr>
              <w:wordWrap w:val="0"/>
            </w:pPr>
          </w:p>
        </w:tc>
      </w:tr>
      <w:tr w:rsidR="00DC5990">
        <w:trPr>
          <w:cantSplit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</w:tcPr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условиями оказания услуг зависит от совокупности факторов, в том числе рассматриваемых в рамках независимой оценки качества.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Важным направлением 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работе организации, найти оптимальные варианты решения проблем.</w:t>
            </w:r>
          </w:p>
          <w:p w:rsidR="00DC5990" w:rsidRDefault="00531652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разными аспектами условий оказания услуг, тренинги с сотрудниками организации, повышающие коммуникативные компетенции и снижающие риск возникновения синдрома профессионального выгорания.</w:t>
            </w:r>
          </w:p>
        </w:tc>
      </w:tr>
    </w:tbl>
    <w:p w:rsidR="00531652" w:rsidRDefault="00531652"/>
    <w:sectPr w:rsidR="00531652">
      <w:footerReference w:type="default" r:id="rId6"/>
      <w:footerReference w:type="first" r:id="rId7"/>
      <w:pgSz w:w="11907" w:h="16839"/>
      <w:pgMar w:top="567" w:right="567" w:bottom="56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DD" w:rsidRDefault="00C07EDD">
      <w:pPr>
        <w:spacing w:after="0" w:line="240" w:lineRule="auto"/>
      </w:pPr>
      <w:r>
        <w:separator/>
      </w:r>
    </w:p>
  </w:endnote>
  <w:endnote w:type="continuationSeparator" w:id="0">
    <w:p w:rsidR="00C07EDD" w:rsidRDefault="00C0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855048"/>
      <w:docPartObj>
        <w:docPartGallery w:val="Page Numbers (Top of Page)"/>
      </w:docPartObj>
    </w:sdtPr>
    <w:sdtEndPr/>
    <w:sdtContent>
      <w:p w:rsidR="00DC5990" w:rsidRDefault="00531652"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C72E71">
          <w:rPr>
            <w:rFonts w:ascii="Arial" w:hAnsi="Arial"/>
            <w:noProof/>
            <w:sz w:val="16"/>
          </w:rPr>
          <w:t>6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DC5990" w:rsidRDefault="00DC599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050168"/>
      <w:docPartObj>
        <w:docPartGallery w:val="Page Numbers (Top of Page)"/>
      </w:docPartObj>
    </w:sdtPr>
    <w:sdtEndPr/>
    <w:sdtContent>
      <w:p w:rsidR="00DC5990" w:rsidRDefault="00C07EDD"/>
    </w:sdtContent>
  </w:sdt>
  <w:p w:rsidR="00DC5990" w:rsidRDefault="00DC599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DD" w:rsidRDefault="00C07EDD">
      <w:pPr>
        <w:spacing w:after="0" w:line="240" w:lineRule="auto"/>
      </w:pPr>
      <w:r>
        <w:separator/>
      </w:r>
    </w:p>
  </w:footnote>
  <w:footnote w:type="continuationSeparator" w:id="0">
    <w:p w:rsidR="00C07EDD" w:rsidRDefault="00C0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0"/>
    <w:rsid w:val="002B103E"/>
    <w:rsid w:val="004C4899"/>
    <w:rsid w:val="00531652"/>
    <w:rsid w:val="00BF498F"/>
    <w:rsid w:val="00C07EDD"/>
    <w:rsid w:val="00C72E71"/>
    <w:rsid w:val="00D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7300-7832-4B95-A59C-0ED354CA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Клуб</cp:lastModifiedBy>
  <cp:revision>6</cp:revision>
  <dcterms:created xsi:type="dcterms:W3CDTF">2024-01-22T13:46:00Z</dcterms:created>
  <dcterms:modified xsi:type="dcterms:W3CDTF">2024-01-26T05:36:00Z</dcterms:modified>
</cp:coreProperties>
</file>